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Xf986a660de4d356a463953f2869fa457b6ba21e"/>
    <w:p>
      <w:pPr>
        <w:pStyle w:val="Heading2"/>
      </w:pPr>
      <w:r>
        <w:t xml:space="preserve">Ata de Sessão de Conciliação – Tentativa de Acordo</w:t>
      </w:r>
    </w:p>
    <w:p>
      <w:pPr>
        <w:pStyle w:val="FirstParagraph"/>
      </w:pPr>
      <w:r>
        <w:rPr>
          <w:b/>
          <w:bCs/>
        </w:rPr>
        <w:t xml:space="preserve">Processo:</w:t>
      </w:r>
      <w:r>
        <w:t xml:space="preserve"> </w:t>
      </w:r>
      <w:r>
        <w:t xml:space="preserve">1234/24.5T8LSB – Processo Especial de Despejo – Arrendamento Comercial – Falta de Pagamento e Caducidade Contratual</w:t>
      </w:r>
    </w:p>
    <w:p>
      <w:pPr>
        <w:pStyle w:val="BodyText"/>
      </w:pPr>
      <w:r>
        <w:rPr>
          <w:b/>
          <w:bCs/>
        </w:rPr>
        <w:t xml:space="preserve">Autor/Requerente:</w:t>
      </w:r>
      <w:r>
        <w:t xml:space="preserve"> </w:t>
      </w:r>
      <w:r>
        <w:t xml:space="preserve">Empresa de Arrendamento Comercial, Lda.</w:t>
      </w:r>
      <w:r>
        <w:br/>
      </w:r>
      <w:r>
        <w:rPr>
          <w:b/>
          <w:bCs/>
        </w:rPr>
        <w:t xml:space="preserve">NIF:</w:t>
      </w:r>
      <w:r>
        <w:t xml:space="preserve"> </w:t>
      </w:r>
      <w:r>
        <w:t xml:space="preserve">514 321 987</w:t>
      </w:r>
      <w:r>
        <w:br/>
      </w:r>
      <w:r>
        <w:rPr>
          <w:b/>
          <w:bCs/>
        </w:rPr>
        <w:t xml:space="preserve">Morada:</w:t>
      </w:r>
      <w:r>
        <w:t xml:space="preserve"> </w:t>
      </w:r>
      <w:r>
        <w:t xml:space="preserve">Av. das Descobertas, n.º 45, 1050‑115 Lisboa</w:t>
      </w:r>
    </w:p>
    <w:p>
      <w:pPr>
        <w:pStyle w:val="BodyText"/>
      </w:pPr>
      <w:r>
        <w:rPr>
          <w:b/>
          <w:bCs/>
        </w:rPr>
        <w:t xml:space="preserve">Réu/Requerido:</w:t>
      </w:r>
      <w:r>
        <w:t xml:space="preserve"> </w:t>
      </w:r>
      <w:r>
        <w:t xml:space="preserve">Sr. João da Silva</w:t>
      </w:r>
      <w:r>
        <w:br/>
      </w:r>
      <w:r>
        <w:rPr>
          <w:b/>
          <w:bCs/>
        </w:rPr>
        <w:t xml:space="preserve">NIF:</w:t>
      </w:r>
      <w:r>
        <w:t xml:space="preserve"> </w:t>
      </w:r>
      <w:r>
        <w:t xml:space="preserve">225 678 432</w:t>
      </w:r>
      <w:r>
        <w:br/>
      </w:r>
      <w:r>
        <w:rPr>
          <w:b/>
          <w:bCs/>
        </w:rPr>
        <w:t xml:space="preserve">Morada:</w:t>
      </w:r>
      <w:r>
        <w:t xml:space="preserve"> </w:t>
      </w:r>
      <w:r>
        <w:t xml:space="preserve">Rua da Boavista, n.º 12, 2.º D, 4000‑123 Porto</w:t>
      </w:r>
    </w:p>
    <w:p>
      <w:pPr>
        <w:pStyle w:val="BodyText"/>
      </w:pPr>
      <w:r>
        <w:rPr>
          <w:b/>
          <w:bCs/>
        </w:rPr>
        <w:t xml:space="preserve">Mandatários: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Parte</w:t>
            </w:r>
          </w:p>
        </w:tc>
        <w:tc>
          <w:tcPr/>
          <w:p>
            <w:pPr>
              <w:pStyle w:val="Compact"/>
            </w:pPr>
            <w:r>
              <w:t xml:space="preserve">Advogado</w:t>
            </w:r>
          </w:p>
        </w:tc>
        <w:tc>
          <w:tcPr/>
          <w:p>
            <w:pPr>
              <w:pStyle w:val="Compact"/>
            </w:pPr>
            <w:r>
              <w:t xml:space="preserve">Nº da Ordem dos Advogados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Requerente</w:t>
            </w:r>
          </w:p>
        </w:tc>
        <w:tc>
          <w:tcPr/>
          <w:p>
            <w:pPr>
              <w:pStyle w:val="Compact"/>
            </w:pPr>
            <w:r>
              <w:t xml:space="preserve">Dr. Ana Martins</w:t>
            </w:r>
          </w:p>
        </w:tc>
        <w:tc>
          <w:tcPr/>
          <w:p>
            <w:pPr>
              <w:pStyle w:val="Compact"/>
            </w:pPr>
            <w:r>
              <w:t xml:space="preserve">OA 12345</w:t>
            </w:r>
          </w:p>
        </w:tc>
      </w:tr>
      <w:tr>
        <w:tc>
          <w:tcPr/>
          <w:p>
            <w:pPr>
              <w:pStyle w:val="Compact"/>
            </w:pPr>
            <w:r>
              <w:t xml:space="preserve">Requerido</w:t>
            </w:r>
          </w:p>
        </w:tc>
        <w:tc>
          <w:tcPr/>
          <w:p>
            <w:pPr>
              <w:pStyle w:val="Compact"/>
            </w:pPr>
            <w:r>
              <w:t xml:space="preserve">Dr. Luís Pereira</w:t>
            </w:r>
          </w:p>
        </w:tc>
        <w:tc>
          <w:tcPr/>
          <w:p>
            <w:pPr>
              <w:pStyle w:val="Compact"/>
            </w:pPr>
            <w:r>
              <w:t xml:space="preserve">OA 67890</w:t>
            </w:r>
          </w:p>
        </w:tc>
      </w:tr>
    </w:tbl>
    <w:p>
      <w:pPr>
        <w:pStyle w:val="BodyText"/>
      </w:pPr>
      <w:r>
        <w:rPr>
          <w:b/>
          <w:bCs/>
        </w:rPr>
        <w:t xml:space="preserve">Juiz de Direito:</w:t>
      </w:r>
      <w:r>
        <w:t xml:space="preserve"> </w:t>
      </w:r>
      <w:r>
        <w:t xml:space="preserve">Juiz de Direito da Vara Cível de Lisboa, Dr. Carlos Mendes</w:t>
      </w:r>
    </w:p>
    <w:p>
      <w:pPr>
        <w:pStyle w:val="BodyText"/>
      </w:pPr>
      <w:r>
        <w:rPr>
          <w:b/>
          <w:bCs/>
        </w:rPr>
        <w:t xml:space="preserve">Data da Sessão:</w:t>
      </w:r>
      <w:r>
        <w:t xml:space="preserve"> </w:t>
      </w:r>
      <w:r>
        <w:t xml:space="preserve">12 de abril de 2024</w:t>
      </w:r>
      <w:r>
        <w:br/>
      </w:r>
      <w:r>
        <w:rPr>
          <w:b/>
          <w:bCs/>
        </w:rPr>
        <w:t xml:space="preserve">Local:</w:t>
      </w:r>
      <w:r>
        <w:t xml:space="preserve"> </w:t>
      </w:r>
      <w:r>
        <w:t xml:space="preserve">Sala de Conciliação da Vara Cível de Lisboa, Rua da Prata, n.º 8, 1150‑259 Lisboa</w:t>
      </w:r>
    </w:p>
    <w:p>
      <w:r>
        <w:pict>
          <v:rect style="width:0;height:1.5pt" o:hralign="center" o:hrstd="t" o:hr="t"/>
        </w:pict>
      </w:r>
    </w:p>
    <w:bookmarkStart w:id="9" w:name="abertura-da-sessão"/>
    <w:p>
      <w:pPr>
        <w:pStyle w:val="Heading3"/>
      </w:pPr>
      <w:r>
        <w:t xml:space="preserve">1. Abertura da Sessão</w:t>
      </w:r>
    </w:p>
    <w:p>
      <w:pPr>
        <w:pStyle w:val="FirstParagraph"/>
      </w:pPr>
      <w:r>
        <w:t xml:space="preserve">Às 09h30, no dia acima indicado, o Juiz de Direito, Dr. Carlos Mendes, declarou aberta a sessão de conciliação, nos termos do artigo 334.º do Código de Processo Civil, e procedeu à verificação das presenças. Constataram‑se presentes, pessoalmente, o Sr. João da Silva, representado pelo seu mandatário, Dr. Luís Pereira, e a representante da Empresa de Arrendamento Comercial, Lda., Sra. Maria Ferreira, acompanhada do seu mandatário, Dr. Ana Martins.</w:t>
      </w:r>
    </w:p>
    <w:bookmarkEnd w:id="9"/>
    <w:bookmarkStart w:id="10" w:name="exposição-dos-factos"/>
    <w:p>
      <w:pPr>
        <w:pStyle w:val="Heading3"/>
      </w:pPr>
      <w:r>
        <w:t xml:space="preserve">2. Exposição dos Factos</w:t>
      </w:r>
    </w:p>
    <w:p>
      <w:pPr>
        <w:pStyle w:val="FirstParagraph"/>
      </w:pPr>
      <w:r>
        <w:t xml:space="preserve">O Juiz procedeu à breve recapitulação dos factos controvertidos:</w:t>
      </w:r>
    </w:p>
    <w:p>
      <w:pPr>
        <w:pStyle w:val="Compact"/>
        <w:numPr>
          <w:ilvl w:val="0"/>
          <w:numId w:val="1001"/>
        </w:numPr>
      </w:pPr>
      <w:r>
        <w:t xml:space="preserve">O contrato de arrendamento comercial, celebrado em 15 de junho de 2020, com vigência de prazo indeterminado, referente ao estabelecimento comercial localizado na Av. das Descobertas, n.º 45, Lisboa.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O incumprimento de pagamento de oito (8) rendas mensais, correspondentes aos meses de agosto a março de 2024, totalizando a dívida principal de</w:t>
      </w:r>
      <w:r>
        <w:t xml:space="preserve"> </w:t>
      </w:r>
      <w:r>
        <w:rPr>
          <w:b/>
          <w:bCs/>
        </w:rPr>
        <w:t xml:space="preserve">€ 28 800,00</w:t>
      </w:r>
      <w:r>
        <w:t xml:space="preserve">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A realização, por parte do réu, de obras de remodelação no interior do imóvel, sem prévia autorização escrita do senhorio, gerando custos de</w:t>
      </w:r>
      <w:r>
        <w:t xml:space="preserve"> </w:t>
      </w:r>
      <w:r>
        <w:rPr>
          <w:b/>
          <w:bCs/>
        </w:rPr>
        <w:t xml:space="preserve">€ 12 500,00</w:t>
      </w:r>
      <w:r>
        <w:t xml:space="preserve">.</w:t>
      </w:r>
      <w:r>
        <w:br/>
      </w:r>
    </w:p>
    <w:p>
      <w:pPr>
        <w:pStyle w:val="Compact"/>
        <w:numPr>
          <w:ilvl w:val="0"/>
          <w:numId w:val="1001"/>
        </w:numPr>
      </w:pPr>
      <w:r>
        <w:t xml:space="preserve">A pretensão do requerente de resolução do contrato, despejo do réu, cobrança da dívida principal, juros moratórios à taxa legal em vigor (4 % ao ano) e indemnização pelos referidos custos de obra.</w:t>
      </w:r>
    </w:p>
    <w:bookmarkEnd w:id="10"/>
    <w:bookmarkStart w:id="13" w:name="propostas-de-acordo"/>
    <w:p>
      <w:pPr>
        <w:pStyle w:val="Heading3"/>
      </w:pPr>
      <w:r>
        <w:t xml:space="preserve">3. Propostas de Acordo</w:t>
      </w:r>
    </w:p>
    <w:bookmarkStart w:id="11" w:name="proposta-do-requerente"/>
    <w:p>
      <w:pPr>
        <w:pStyle w:val="Heading4"/>
      </w:pPr>
      <w:r>
        <w:t xml:space="preserve">3.1. Proposta do Requerente</w:t>
      </w:r>
    </w:p>
    <w:p>
      <w:pPr>
        <w:pStyle w:val="FirstParagraph"/>
      </w:pPr>
      <w:r>
        <w:t xml:space="preserve">O Dr. Ana Martins, em nome da Empresa de Arrendamento Comercial, Lda., propôs ao réu a seguinte composição: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760"/>
        <w:gridCol w:w="3226"/>
        <w:gridCol w:w="2933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Item</w:t>
            </w:r>
          </w:p>
        </w:tc>
        <w:tc>
          <w:tcPr/>
          <w:p>
            <w:pPr>
              <w:pStyle w:val="Compact"/>
            </w:pPr>
            <w:r>
              <w:t xml:space="preserve">Valor (€)</w:t>
            </w:r>
          </w:p>
        </w:tc>
        <w:tc>
          <w:tcPr/>
          <w:p>
            <w:pPr>
              <w:pStyle w:val="Compact"/>
            </w:pPr>
            <w:r>
              <w:t xml:space="preserve">Condição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Dívida principal (8 rendas)</w:t>
            </w:r>
          </w:p>
        </w:tc>
        <w:tc>
          <w:tcPr/>
          <w:p>
            <w:pPr>
              <w:pStyle w:val="Compact"/>
            </w:pPr>
            <w:r>
              <w:t xml:space="preserve">28 800,00</w:t>
            </w:r>
          </w:p>
        </w:tc>
        <w:tc>
          <w:tcPr/>
          <w:p>
            <w:pPr>
              <w:pStyle w:val="Compact"/>
            </w:pPr>
            <w:r>
              <w:t xml:space="preserve">Pagamento em única entrega até 30 de abril de 2024</w:t>
            </w:r>
          </w:p>
        </w:tc>
      </w:tr>
      <w:tr>
        <w:tc>
          <w:tcPr/>
          <w:p>
            <w:pPr>
              <w:pStyle w:val="Compact"/>
            </w:pPr>
            <w:r>
              <w:t xml:space="preserve">Juros moratórios (até data de pagamento)</w:t>
            </w:r>
          </w:p>
        </w:tc>
        <w:tc>
          <w:tcPr/>
          <w:p>
            <w:pPr>
              <w:pStyle w:val="Compact"/>
            </w:pPr>
            <w:r>
              <w:t xml:space="preserve">1 152,00*</w:t>
            </w:r>
          </w:p>
        </w:tc>
        <w:tc>
          <w:tcPr/>
          <w:p>
            <w:pPr>
              <w:pStyle w:val="Compact"/>
            </w:pPr>
            <w:r>
              <w:t xml:space="preserve">Calculados à taxa legal de 4 % ao ano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Indemnização por obras não autorizadas</w:t>
            </w:r>
          </w:p>
        </w:tc>
        <w:tc>
          <w:tcPr/>
          <w:p>
            <w:pPr>
              <w:pStyle w:val="Compact"/>
            </w:pPr>
            <w:r>
              <w:t xml:space="preserve">12 500,00</w:t>
            </w:r>
          </w:p>
        </w:tc>
        <w:tc>
          <w:tcPr/>
          <w:p>
            <w:pPr>
              <w:pStyle w:val="Compact"/>
            </w:pPr>
            <w:r>
              <w:t xml:space="preserve">Pagamento em única entrega até 30 de abril de 2024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 a pagar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42 452,00</w:t>
            </w:r>
          </w:p>
        </w:tc>
        <w:tc>
          <w:tcPr/>
          <w:p>
            <w:pPr>
              <w:pStyle w:val="Compact"/>
            </w:pPr>
            <w:r>
              <w:t xml:space="preserve">Desistência de ação de despejo e de cobrança de custos judiciais</w:t>
            </w:r>
          </w:p>
        </w:tc>
      </w:tr>
    </w:tbl>
    <w:p>
      <w:pPr>
        <w:pStyle w:val="BodyText"/>
      </w:pPr>
      <w:r>
        <w:t xml:space="preserve">* Juros calculados sobre o valor principal de € 28 800,00, correspondente a 8 meses de mora (0,3333 % mensal).</w:t>
      </w:r>
    </w:p>
    <w:bookmarkEnd w:id="11"/>
    <w:bookmarkStart w:id="12" w:name="contraproposta-do-réu"/>
    <w:p>
      <w:pPr>
        <w:pStyle w:val="Heading4"/>
      </w:pPr>
      <w:r>
        <w:t xml:space="preserve">3.2. Contra‑proposta do Réu</w:t>
      </w:r>
    </w:p>
    <w:p>
      <w:pPr>
        <w:pStyle w:val="FirstParagraph"/>
      </w:pPr>
      <w:r>
        <w:t xml:space="preserve">O Dr. Luís Pereira, em nome do Sr. João da Silva, apresentou a seguinte contra‑proposta: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760"/>
        <w:gridCol w:w="3226"/>
        <w:gridCol w:w="2933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Item</w:t>
            </w:r>
          </w:p>
        </w:tc>
        <w:tc>
          <w:tcPr/>
          <w:p>
            <w:pPr>
              <w:pStyle w:val="Compact"/>
            </w:pPr>
            <w:r>
              <w:t xml:space="preserve">Valor (€)</w:t>
            </w:r>
          </w:p>
        </w:tc>
        <w:tc>
          <w:tcPr/>
          <w:p>
            <w:pPr>
              <w:pStyle w:val="Compact"/>
            </w:pPr>
            <w:r>
              <w:t xml:space="preserve">Condição</w:t>
            </w:r>
          </w:p>
        </w:tc>
      </w:tr>
      <w:tr>
        <w:tc>
          <w:tcPr/>
          <w:p>
            <w:pPr>
              <w:pStyle w:val="Compact"/>
            </w:pPr>
            <w:r>
              <w:t xml:space="preserve">Dívida principal (8 rendas)</w:t>
            </w:r>
          </w:p>
        </w:tc>
        <w:tc>
          <w:tcPr/>
          <w:p>
            <w:pPr>
              <w:pStyle w:val="Compact"/>
            </w:pPr>
            <w:r>
              <w:t xml:space="preserve">28 800,00</w:t>
            </w:r>
          </w:p>
        </w:tc>
        <w:tc>
          <w:tcPr/>
          <w:p>
            <w:pPr>
              <w:pStyle w:val="Compact"/>
            </w:pPr>
            <w:r>
              <w:t xml:space="preserve">Pagamento em duas parcelas iguais de € 14 400,00, vencendo a primeira em 30 de abril de 2024 e a segunda em 31 de maio de 2024</w:t>
            </w:r>
          </w:p>
        </w:tc>
      </w:tr>
      <w:tr>
        <w:tc>
          <w:tcPr/>
          <w:p>
            <w:pPr>
              <w:pStyle w:val="Compact"/>
            </w:pPr>
            <w:r>
              <w:t xml:space="preserve">Juros moratórios</w:t>
            </w:r>
          </w:p>
        </w:tc>
        <w:tc>
          <w:tcPr/>
          <w:p>
            <w:pPr>
              <w:pStyle w:val="Compact"/>
            </w:pPr>
            <w:r>
              <w:t xml:space="preserve">720,00</w:t>
            </w:r>
          </w:p>
        </w:tc>
        <w:tc>
          <w:tcPr/>
          <w:p>
            <w:pPr>
              <w:pStyle w:val="Compact"/>
            </w:pPr>
            <w:r>
              <w:t xml:space="preserve">Redução ao meio da taxa legal, reconhecendo boa‑fé do réu</w:t>
            </w:r>
          </w:p>
        </w:tc>
      </w:tr>
      <w:tr>
        <w:tc>
          <w:tcPr/>
          <w:p>
            <w:pPr>
              <w:pStyle w:val="Compact"/>
            </w:pPr>
            <w:r>
              <w:t xml:space="preserve">Indemnização por obras</w:t>
            </w:r>
          </w:p>
        </w:tc>
        <w:tc>
          <w:tcPr/>
          <w:p>
            <w:pPr>
              <w:pStyle w:val="Compact"/>
            </w:pPr>
            <w:r>
              <w:t xml:space="preserve">9 000,00</w:t>
            </w:r>
          </w:p>
        </w:tc>
        <w:tc>
          <w:tcPr/>
          <w:p>
            <w:pPr>
              <w:pStyle w:val="Compact"/>
            </w:pPr>
            <w:r>
              <w:t xml:space="preserve">Redução de 30 % por alegada inexistência de prejuízo total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Total a pagar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38 520,00</w:t>
            </w:r>
          </w:p>
        </w:tc>
        <w:tc>
          <w:tcPr/>
          <w:p>
            <w:pPr>
              <w:pStyle w:val="Compact"/>
            </w:pPr>
            <w:r>
              <w:t xml:space="preserve">Manutenção da ocupação do imóvel até 30 de junho de 2024, data em que o réu compromete‑se a desocupar o local</w:t>
            </w:r>
          </w:p>
        </w:tc>
      </w:tr>
    </w:tbl>
    <w:bookmarkEnd w:id="12"/>
    <w:bookmarkEnd w:id="13"/>
    <w:bookmarkStart w:id="14" w:name="deliberação-e-resultado"/>
    <w:p>
      <w:pPr>
        <w:pStyle w:val="Heading3"/>
      </w:pPr>
      <w:r>
        <w:t xml:space="preserve">4. Deliberação e Resultado</w:t>
      </w:r>
    </w:p>
    <w:p>
      <w:pPr>
        <w:pStyle w:val="FirstParagraph"/>
      </w:pPr>
      <w:r>
        <w:t xml:space="preserve">Após a exposição das propostas, o Juiz concedeu a ambas as partes um intervalo de quinze (15) minutos para novas negociações. Não sendo alcançado acordo entre as partes, o réu manteve a sua posição de pagamento parcelado e redução dos juros, enquanto o requerente insistiu na quitação integral e imediata, bem como na manutenção da cláusula de despejo.</w:t>
      </w:r>
    </w:p>
    <w:p>
      <w:pPr>
        <w:pStyle w:val="BodyText"/>
      </w:pPr>
      <w:r>
        <w:t xml:space="preserve">Concluídas as tentativas de conciliação, o Juiz declarou, às 11h45, que</w:t>
      </w:r>
      <w:r>
        <w:t xml:space="preserve"> </w:t>
      </w:r>
      <w:r>
        <w:rPr>
          <w:b/>
          <w:bCs/>
        </w:rPr>
        <w:t xml:space="preserve">não foi possível alcançar acordo conciliatório</w:t>
      </w:r>
      <w:r>
        <w:t xml:space="preserve"> </w:t>
      </w:r>
      <w:r>
        <w:t xml:space="preserve">entre as partes. Em consequência, o processo seguirá o seu curso normal, com a designação de audiência de julgamento, nos termos do artigo 335.º do Código de Processo Civil.</w:t>
      </w:r>
    </w:p>
    <w:bookmarkEnd w:id="14"/>
    <w:bookmarkStart w:id="15" w:name="encerramento"/>
    <w:p>
      <w:pPr>
        <w:pStyle w:val="Heading3"/>
      </w:pPr>
      <w:r>
        <w:t xml:space="preserve">5. Encerramento</w:t>
      </w:r>
    </w:p>
    <w:p>
      <w:pPr>
        <w:pStyle w:val="FirstParagraph"/>
      </w:pPr>
      <w:r>
        <w:t xml:space="preserve">Nada mais havendo a tratar, o Juiz deu por encerrada a sessão, determinando a lavratura da presente ata, que será assinada pelos presentes e juntada aos autos.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Assinaturas: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917"/>
        <w:gridCol w:w="500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Parte</w:t>
            </w:r>
          </w:p>
        </w:tc>
        <w:tc>
          <w:tcPr/>
          <w:p>
            <w:pPr>
              <w:pStyle w:val="Compact"/>
            </w:pPr>
            <w:r>
              <w:t xml:space="preserve">Assinatura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 Ana Martins (OA 12345) – Mandatário do Requerente</w:t>
            </w:r>
          </w:p>
        </w:tc>
        <w:tc>
          <w:tcPr/>
          <w:p>
            <w:pPr>
              <w:pStyle w:val="Compact"/>
            </w:pPr>
            <w:r>
              <w:t xml:space="preserve">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 Luís Pereira (OA 67890) – Mandatário do Réu</w:t>
            </w:r>
          </w:p>
        </w:tc>
        <w:tc>
          <w:tcPr/>
          <w:p>
            <w:pPr>
              <w:pStyle w:val="Compact"/>
            </w:pPr>
            <w:r>
              <w:t xml:space="preserve">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Dr. Carlos Mendes – Juiz de Direito</w:t>
            </w:r>
          </w:p>
        </w:tc>
        <w:tc>
          <w:tcPr/>
          <w:p>
            <w:pPr>
              <w:pStyle w:val="Compact"/>
            </w:pPr>
            <w:r>
              <w:t xml:space="preserve">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Sr. João da Silva – Réu (presente)</w:t>
            </w:r>
          </w:p>
        </w:tc>
        <w:tc>
          <w:tcPr/>
          <w:p>
            <w:pPr>
              <w:pStyle w:val="Compact"/>
            </w:pPr>
            <w:r>
              <w:t xml:space="preserve">_______________________</w:t>
            </w:r>
          </w:p>
        </w:tc>
      </w:tr>
      <w:tr>
        <w:tc>
          <w:tcPr/>
          <w:p>
            <w:pPr>
              <w:pStyle w:val="Compact"/>
            </w:pPr>
            <w:r>
              <w:t xml:space="preserve">Sra. Maria Ferreira – Representante da Empresa de Arrendamento Comercial, Lda.</w:t>
            </w:r>
          </w:p>
        </w:tc>
        <w:tc>
          <w:tcPr/>
          <w:p>
            <w:pPr>
              <w:pStyle w:val="Compact"/>
            </w:pPr>
            <w:r>
              <w:t xml:space="preserve">_______________________</w:t>
            </w:r>
          </w:p>
        </w:tc>
      </w:tr>
    </w:tbl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2026-02-22T19:19:51Z</dcterms:created>
  <dcterms:modified xsi:type="dcterms:W3CDTF">2026-02-22T19:19:51Z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